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DD0F48" w:rsidP="006B3759">
      <w:pPr>
        <w:spacing w:line="240" w:lineRule="auto"/>
        <w:rPr>
          <w:b/>
          <w:sz w:val="28"/>
          <w:szCs w:val="28"/>
        </w:rPr>
      </w:pPr>
      <w:r>
        <w:rPr>
          <w:b/>
          <w:sz w:val="28"/>
          <w:szCs w:val="28"/>
        </w:rPr>
        <w:t xml:space="preserve">                                                                                                                                                                                                                                                                                                                </w:t>
      </w:r>
    </w:p>
    <w:p w:rsidR="00E24726" w:rsidRDefault="00E24726" w:rsidP="006B3759">
      <w:pPr>
        <w:spacing w:line="240" w:lineRule="auto"/>
        <w:rPr>
          <w:b/>
          <w:sz w:val="28"/>
          <w:szCs w:val="28"/>
        </w:rPr>
      </w:pPr>
    </w:p>
    <w:p w:rsidR="00E24726" w:rsidRDefault="00E24726" w:rsidP="006B3759">
      <w:pPr>
        <w:spacing w:line="240" w:lineRule="auto"/>
        <w:rPr>
          <w:b/>
          <w:sz w:val="28"/>
          <w:szCs w:val="28"/>
        </w:rPr>
      </w:pPr>
    </w:p>
    <w:p w:rsidR="00E24726" w:rsidRDefault="00E24726" w:rsidP="006B3759">
      <w:pPr>
        <w:spacing w:line="240" w:lineRule="auto"/>
        <w:rPr>
          <w:b/>
          <w:sz w:val="28"/>
          <w:szCs w:val="28"/>
        </w:rPr>
      </w:pPr>
    </w:p>
    <w:p w:rsidR="00E24726" w:rsidRPr="00154908" w:rsidRDefault="00E24726" w:rsidP="00E24726">
      <w:pPr>
        <w:spacing w:line="240" w:lineRule="auto"/>
        <w:rPr>
          <w:sz w:val="28"/>
          <w:szCs w:val="28"/>
        </w:rPr>
      </w:pPr>
      <w:r w:rsidRPr="00154908">
        <w:rPr>
          <w:sz w:val="28"/>
          <w:szCs w:val="28"/>
        </w:rPr>
        <w:t>Joint Links Fitness Check DRAFT Evidence Submission 25/03/2015</w:t>
      </w:r>
    </w:p>
    <w:p w:rsidR="00E24726" w:rsidRDefault="00E24726" w:rsidP="00E24726">
      <w:pPr>
        <w:spacing w:line="240" w:lineRule="auto"/>
        <w:rPr>
          <w:sz w:val="28"/>
          <w:szCs w:val="28"/>
        </w:rPr>
      </w:pPr>
    </w:p>
    <w:p w:rsidR="006152E5" w:rsidRPr="007174A1" w:rsidRDefault="006152E5" w:rsidP="006152E5">
      <w:pPr>
        <w:rPr>
          <w:b/>
        </w:rPr>
      </w:pPr>
      <w:r>
        <w:rPr>
          <w:b/>
        </w:rPr>
        <w:t xml:space="preserve">Annex </w:t>
      </w:r>
      <w:proofErr w:type="spellStart"/>
      <w:proofErr w:type="gramStart"/>
      <w:r>
        <w:rPr>
          <w:b/>
        </w:rPr>
        <w:t>V</w:t>
      </w:r>
      <w:r w:rsidR="002E5F88">
        <w:rPr>
          <w:b/>
        </w:rPr>
        <w:t>a</w:t>
      </w:r>
      <w:proofErr w:type="spellEnd"/>
      <w:proofErr w:type="gramEnd"/>
      <w:r>
        <w:rPr>
          <w:b/>
        </w:rPr>
        <w:t xml:space="preserve">: </w:t>
      </w:r>
      <w:r w:rsidRPr="007174A1">
        <w:rPr>
          <w:b/>
        </w:rPr>
        <w:t xml:space="preserve">Results from </w:t>
      </w:r>
      <w:r>
        <w:rPr>
          <w:b/>
        </w:rPr>
        <w:t xml:space="preserve">RSPB </w:t>
      </w:r>
      <w:r w:rsidRPr="007174A1">
        <w:rPr>
          <w:b/>
        </w:rPr>
        <w:t>Article 6(3) Survey</w:t>
      </w:r>
      <w:r>
        <w:rPr>
          <w:b/>
        </w:rPr>
        <w:t xml:space="preserve"> (March 2015)</w:t>
      </w:r>
    </w:p>
    <w:p w:rsidR="006152E5" w:rsidRPr="00880A3E" w:rsidRDefault="006152E5" w:rsidP="006152E5">
      <w:pPr>
        <w:rPr>
          <w:b/>
          <w:sz w:val="28"/>
          <w:szCs w:val="28"/>
        </w:rPr>
      </w:pPr>
    </w:p>
    <w:p w:rsidR="002E5F88" w:rsidRPr="00880A3E" w:rsidRDefault="002E5F88" w:rsidP="006152E5">
      <w:pPr>
        <w:rPr>
          <w:b/>
          <w:sz w:val="22"/>
          <w:szCs w:val="22"/>
        </w:rPr>
      </w:pPr>
      <w:r w:rsidRPr="00880A3E">
        <w:rPr>
          <w:b/>
          <w:sz w:val="22"/>
          <w:szCs w:val="22"/>
        </w:rPr>
        <w:t>Background</w:t>
      </w:r>
    </w:p>
    <w:p w:rsidR="002E5F88" w:rsidRPr="00880A3E" w:rsidRDefault="002E5F88" w:rsidP="006152E5">
      <w:pPr>
        <w:rPr>
          <w:b/>
          <w:sz w:val="22"/>
          <w:szCs w:val="22"/>
        </w:rPr>
      </w:pPr>
    </w:p>
    <w:p w:rsidR="002E5F88" w:rsidRPr="00880A3E" w:rsidRDefault="002E5F88" w:rsidP="00880A3E">
      <w:pPr>
        <w:jc w:val="both"/>
        <w:rPr>
          <w:sz w:val="22"/>
          <w:szCs w:val="22"/>
        </w:rPr>
      </w:pPr>
      <w:r w:rsidRPr="00880A3E">
        <w:rPr>
          <w:sz w:val="22"/>
          <w:szCs w:val="22"/>
        </w:rPr>
        <w:t xml:space="preserve">In an attempt to better quantify the proportion of planning applications that are subject to assessment under Articles 6(3) and 6(4) of the Habitats Directive, in late 2014/early 2015 the RSPB contacted </w:t>
      </w:r>
      <w:r w:rsidR="00C81C8E" w:rsidRPr="00880A3E">
        <w:rPr>
          <w:sz w:val="22"/>
          <w:szCs w:val="22"/>
        </w:rPr>
        <w:t>24</w:t>
      </w:r>
      <w:r w:rsidRPr="00880A3E">
        <w:rPr>
          <w:sz w:val="22"/>
          <w:szCs w:val="22"/>
        </w:rPr>
        <w:t xml:space="preserve"> UK local planning authorities and asked them to provide information on</w:t>
      </w:r>
      <w:r w:rsidR="00C81C8E" w:rsidRPr="00880A3E">
        <w:rPr>
          <w:sz w:val="22"/>
          <w:szCs w:val="22"/>
        </w:rPr>
        <w:t xml:space="preserve"> planning applications received and determined </w:t>
      </w:r>
      <w:r w:rsidRPr="00880A3E">
        <w:rPr>
          <w:sz w:val="22"/>
          <w:szCs w:val="22"/>
        </w:rPr>
        <w:t xml:space="preserve">for the period </w:t>
      </w:r>
      <w:r w:rsidR="00C81C8E" w:rsidRPr="00880A3E">
        <w:rPr>
          <w:sz w:val="22"/>
          <w:szCs w:val="22"/>
        </w:rPr>
        <w:t>1 January to 31 December 2013</w:t>
      </w:r>
      <w:r w:rsidR="00422717" w:rsidRPr="00880A3E">
        <w:rPr>
          <w:sz w:val="22"/>
          <w:szCs w:val="22"/>
        </w:rPr>
        <w:t>, together with details of any Habitats Regulations Assessments (HRA).</w:t>
      </w:r>
      <w:r w:rsidRPr="00880A3E">
        <w:rPr>
          <w:sz w:val="22"/>
          <w:szCs w:val="22"/>
        </w:rPr>
        <w:t xml:space="preserve"> </w:t>
      </w:r>
      <w:r w:rsidR="00DD0F48" w:rsidRPr="00880A3E">
        <w:rPr>
          <w:sz w:val="22"/>
          <w:szCs w:val="22"/>
        </w:rPr>
        <w:t>Only 4 local planning authorities were able to provide any data. In addition, we undertook a two part r</w:t>
      </w:r>
      <w:r w:rsidRPr="00880A3E">
        <w:rPr>
          <w:sz w:val="22"/>
          <w:szCs w:val="22"/>
        </w:rPr>
        <w:t xml:space="preserve">eview of </w:t>
      </w:r>
      <w:r w:rsidR="005053C9" w:rsidRPr="00880A3E">
        <w:rPr>
          <w:sz w:val="22"/>
          <w:szCs w:val="22"/>
        </w:rPr>
        <w:t>Nationally Significant In</w:t>
      </w:r>
      <w:r w:rsidR="00DD0F48" w:rsidRPr="00880A3E">
        <w:rPr>
          <w:sz w:val="22"/>
          <w:szCs w:val="22"/>
        </w:rPr>
        <w:t xml:space="preserve">frastructure Projects (NSIPs): those </w:t>
      </w:r>
      <w:r w:rsidR="00DD0F48" w:rsidRPr="00880A3E">
        <w:rPr>
          <w:b/>
          <w:sz w:val="22"/>
          <w:szCs w:val="22"/>
        </w:rPr>
        <w:t>accepted for consideration</w:t>
      </w:r>
      <w:r w:rsidR="00DD0F48" w:rsidRPr="00880A3E">
        <w:rPr>
          <w:sz w:val="22"/>
          <w:szCs w:val="22"/>
        </w:rPr>
        <w:t xml:space="preserve"> in 2013 and those </w:t>
      </w:r>
      <w:r w:rsidR="003F4474" w:rsidRPr="00880A3E">
        <w:rPr>
          <w:b/>
          <w:sz w:val="22"/>
          <w:szCs w:val="22"/>
        </w:rPr>
        <w:t>determined</w:t>
      </w:r>
      <w:r w:rsidR="005053C9" w:rsidRPr="00880A3E">
        <w:rPr>
          <w:sz w:val="22"/>
          <w:szCs w:val="22"/>
        </w:rPr>
        <w:t xml:space="preserve"> in 2013 based on the information provided on the NSIP </w:t>
      </w:r>
      <w:r w:rsidR="003F4474" w:rsidRPr="00880A3E">
        <w:rPr>
          <w:sz w:val="22"/>
          <w:szCs w:val="22"/>
        </w:rPr>
        <w:t>website</w:t>
      </w:r>
      <w:r w:rsidR="003F4474" w:rsidRPr="00880A3E">
        <w:rPr>
          <w:rStyle w:val="FootnoteReference"/>
          <w:sz w:val="22"/>
          <w:szCs w:val="22"/>
        </w:rPr>
        <w:footnoteReference w:id="1"/>
      </w:r>
      <w:r w:rsidR="00DD0F48" w:rsidRPr="00880A3E">
        <w:rPr>
          <w:sz w:val="22"/>
          <w:szCs w:val="22"/>
        </w:rPr>
        <w:t>. A shorter, less detailed analysis was made for projects determined by the</w:t>
      </w:r>
      <w:r w:rsidR="00422717" w:rsidRPr="00880A3E">
        <w:rPr>
          <w:sz w:val="22"/>
          <w:szCs w:val="22"/>
        </w:rPr>
        <w:t xml:space="preserve"> Scottish Energy Consents Unit</w:t>
      </w:r>
      <w:r w:rsidR="00DD0F48" w:rsidRPr="00880A3E">
        <w:rPr>
          <w:sz w:val="22"/>
          <w:szCs w:val="22"/>
        </w:rPr>
        <w:t xml:space="preserve"> in 2013 and 2014</w:t>
      </w:r>
      <w:r w:rsidR="00422717" w:rsidRPr="00880A3E">
        <w:rPr>
          <w:rStyle w:val="FootnoteReference"/>
          <w:sz w:val="22"/>
          <w:szCs w:val="22"/>
        </w:rPr>
        <w:footnoteReference w:id="2"/>
      </w:r>
      <w:r w:rsidR="00422717" w:rsidRPr="00880A3E">
        <w:rPr>
          <w:sz w:val="22"/>
          <w:szCs w:val="22"/>
        </w:rPr>
        <w:t>.</w:t>
      </w:r>
      <w:r w:rsidR="003F4474" w:rsidRPr="00880A3E">
        <w:rPr>
          <w:sz w:val="22"/>
          <w:szCs w:val="22"/>
        </w:rPr>
        <w:t xml:space="preserve"> </w:t>
      </w:r>
    </w:p>
    <w:p w:rsidR="001A4393" w:rsidRPr="00880A3E" w:rsidRDefault="001A4393" w:rsidP="00880A3E">
      <w:pPr>
        <w:jc w:val="both"/>
        <w:rPr>
          <w:sz w:val="22"/>
          <w:szCs w:val="22"/>
        </w:rPr>
      </w:pPr>
    </w:p>
    <w:p w:rsidR="001A4393" w:rsidRPr="00880A3E" w:rsidRDefault="001A4393" w:rsidP="00880A3E">
      <w:pPr>
        <w:jc w:val="both"/>
        <w:rPr>
          <w:sz w:val="22"/>
          <w:szCs w:val="22"/>
        </w:rPr>
      </w:pPr>
      <w:r w:rsidRPr="00880A3E">
        <w:rPr>
          <w:sz w:val="22"/>
          <w:szCs w:val="22"/>
        </w:rPr>
        <w:t>We also contacted 8 regional authorities in Slovakia, requesting similar information.</w:t>
      </w:r>
    </w:p>
    <w:p w:rsidR="005053C9" w:rsidRPr="00880A3E" w:rsidRDefault="005053C9" w:rsidP="00880A3E">
      <w:pPr>
        <w:jc w:val="both"/>
        <w:rPr>
          <w:sz w:val="22"/>
          <w:szCs w:val="22"/>
        </w:rPr>
      </w:pPr>
    </w:p>
    <w:p w:rsidR="005053C9" w:rsidRPr="00880A3E" w:rsidRDefault="005053C9" w:rsidP="00880A3E">
      <w:pPr>
        <w:jc w:val="both"/>
        <w:rPr>
          <w:sz w:val="22"/>
          <w:szCs w:val="22"/>
        </w:rPr>
      </w:pPr>
      <w:r w:rsidRPr="00880A3E">
        <w:rPr>
          <w:sz w:val="22"/>
          <w:szCs w:val="22"/>
        </w:rPr>
        <w:t xml:space="preserve">The results of these analyses are presented below, and the raw data underpinning the NSIP analysis are provided at </w:t>
      </w:r>
      <w:r w:rsidRPr="00880A3E">
        <w:rPr>
          <w:b/>
          <w:sz w:val="22"/>
          <w:szCs w:val="22"/>
        </w:rPr>
        <w:t>Annex Vb.</w:t>
      </w:r>
    </w:p>
    <w:p w:rsidR="002E5F88" w:rsidRPr="00880A3E" w:rsidRDefault="002E5F88" w:rsidP="00880A3E">
      <w:pPr>
        <w:jc w:val="both"/>
        <w:rPr>
          <w:sz w:val="22"/>
          <w:szCs w:val="22"/>
        </w:rPr>
      </w:pPr>
    </w:p>
    <w:p w:rsidR="006152E5" w:rsidRPr="00880A3E" w:rsidRDefault="006152E5" w:rsidP="00880A3E">
      <w:pPr>
        <w:jc w:val="both"/>
        <w:rPr>
          <w:b/>
          <w:sz w:val="22"/>
          <w:szCs w:val="22"/>
        </w:rPr>
      </w:pPr>
      <w:r w:rsidRPr="00880A3E">
        <w:rPr>
          <w:b/>
          <w:sz w:val="22"/>
          <w:szCs w:val="22"/>
        </w:rPr>
        <w:t>United Kingdom</w:t>
      </w:r>
    </w:p>
    <w:p w:rsidR="006152E5" w:rsidRPr="00880A3E" w:rsidRDefault="006152E5" w:rsidP="00880A3E">
      <w:pPr>
        <w:jc w:val="both"/>
        <w:rPr>
          <w:sz w:val="22"/>
          <w:szCs w:val="22"/>
        </w:rPr>
      </w:pPr>
    </w:p>
    <w:p w:rsidR="006152E5" w:rsidRPr="00880A3E" w:rsidRDefault="006152E5" w:rsidP="00880A3E">
      <w:pPr>
        <w:pStyle w:val="PlainText"/>
        <w:jc w:val="both"/>
        <w:rPr>
          <w:rFonts w:ascii="Arial" w:hAnsi="Arial" w:cs="Arial"/>
          <w:sz w:val="22"/>
          <w:szCs w:val="22"/>
          <w:lang w:eastAsia="en-US"/>
        </w:rPr>
      </w:pPr>
      <w:r w:rsidRPr="00880A3E">
        <w:rPr>
          <w:rFonts w:ascii="Arial" w:hAnsi="Arial" w:cs="Arial"/>
          <w:sz w:val="22"/>
          <w:szCs w:val="22"/>
        </w:rPr>
        <w:t xml:space="preserve">Bracknell Forest Council: </w:t>
      </w:r>
      <w:r w:rsidRPr="00880A3E">
        <w:rPr>
          <w:rFonts w:ascii="Arial" w:hAnsi="Arial" w:cs="Arial"/>
          <w:sz w:val="22"/>
          <w:szCs w:val="22"/>
          <w:lang w:eastAsia="en-US"/>
        </w:rPr>
        <w:t>received 1</w:t>
      </w:r>
      <w:r w:rsidR="00880A3E">
        <w:rPr>
          <w:rFonts w:ascii="Arial" w:hAnsi="Arial" w:cs="Arial"/>
          <w:sz w:val="22"/>
          <w:szCs w:val="22"/>
          <w:lang w:eastAsia="en-US"/>
        </w:rPr>
        <w:t>,</w:t>
      </w:r>
      <w:r w:rsidRPr="00880A3E">
        <w:rPr>
          <w:rFonts w:ascii="Arial" w:hAnsi="Arial" w:cs="Arial"/>
          <w:sz w:val="22"/>
          <w:szCs w:val="22"/>
          <w:lang w:eastAsia="en-US"/>
        </w:rPr>
        <w:t xml:space="preserve">081 planning applications in 2013 and 78 of these were subject to HRA screening. Of the 1,079 applications determined in 2013, 56 were screened for likely significant effect; one application was then subject to an Appropriate Assessment </w:t>
      </w:r>
      <w:r w:rsidR="00880A3E">
        <w:rPr>
          <w:rFonts w:ascii="Arial" w:hAnsi="Arial" w:cs="Arial"/>
          <w:sz w:val="22"/>
          <w:szCs w:val="22"/>
          <w:lang w:eastAsia="en-US"/>
        </w:rPr>
        <w:t xml:space="preserve">(AA) </w:t>
      </w:r>
      <w:r w:rsidRPr="00880A3E">
        <w:rPr>
          <w:rFonts w:ascii="Arial" w:hAnsi="Arial" w:cs="Arial"/>
          <w:sz w:val="22"/>
          <w:szCs w:val="22"/>
          <w:lang w:eastAsia="en-US"/>
        </w:rPr>
        <w:t xml:space="preserve">and, following the agreement of mitigation measures, received consent. The Site Allocations Local Plan was adopted in July 2013 and subsequently there has been a rise in the number of larger applications accompanied by </w:t>
      </w:r>
      <w:r w:rsidR="00880A3E">
        <w:rPr>
          <w:rFonts w:ascii="Arial" w:hAnsi="Arial" w:cs="Arial"/>
          <w:sz w:val="22"/>
          <w:szCs w:val="22"/>
          <w:lang w:eastAsia="en-US"/>
        </w:rPr>
        <w:t>AAs</w:t>
      </w:r>
      <w:r w:rsidRPr="00880A3E">
        <w:rPr>
          <w:rFonts w:ascii="Arial" w:hAnsi="Arial" w:cs="Arial"/>
          <w:sz w:val="22"/>
          <w:szCs w:val="22"/>
          <w:lang w:eastAsia="en-US"/>
        </w:rPr>
        <w:t>.</w:t>
      </w:r>
    </w:p>
    <w:p w:rsidR="006152E5" w:rsidRPr="00880A3E" w:rsidRDefault="006152E5" w:rsidP="00880A3E">
      <w:pPr>
        <w:pStyle w:val="PlainText"/>
        <w:jc w:val="both"/>
        <w:rPr>
          <w:rFonts w:ascii="Arial" w:hAnsi="Arial" w:cs="Arial"/>
          <w:sz w:val="22"/>
          <w:szCs w:val="22"/>
          <w:lang w:eastAsia="en-US"/>
        </w:rPr>
      </w:pPr>
    </w:p>
    <w:p w:rsidR="006152E5" w:rsidRPr="00880A3E" w:rsidRDefault="006152E5" w:rsidP="00880A3E">
      <w:pPr>
        <w:jc w:val="both"/>
        <w:rPr>
          <w:sz w:val="22"/>
          <w:szCs w:val="22"/>
        </w:rPr>
      </w:pPr>
      <w:r w:rsidRPr="00880A3E">
        <w:rPr>
          <w:sz w:val="22"/>
          <w:szCs w:val="22"/>
        </w:rPr>
        <w:t xml:space="preserve">Harrogate Borough Council: received a total of 4,735 planning applications in 2013 and none of these were screened for </w:t>
      </w:r>
      <w:r w:rsidR="00C9025D" w:rsidRPr="00880A3E">
        <w:rPr>
          <w:sz w:val="22"/>
          <w:szCs w:val="22"/>
        </w:rPr>
        <w:t>likely significant effects</w:t>
      </w:r>
      <w:r w:rsidRPr="00880A3E">
        <w:rPr>
          <w:sz w:val="22"/>
          <w:szCs w:val="22"/>
        </w:rPr>
        <w:t xml:space="preserve"> as part of an HRA.</w:t>
      </w:r>
    </w:p>
    <w:p w:rsidR="006152E5" w:rsidRPr="00880A3E" w:rsidRDefault="006152E5" w:rsidP="00880A3E">
      <w:pPr>
        <w:jc w:val="both"/>
        <w:rPr>
          <w:sz w:val="22"/>
          <w:szCs w:val="22"/>
        </w:rPr>
      </w:pPr>
    </w:p>
    <w:p w:rsidR="006152E5" w:rsidRPr="00880A3E" w:rsidRDefault="006152E5" w:rsidP="00880A3E">
      <w:pPr>
        <w:jc w:val="both"/>
        <w:rPr>
          <w:sz w:val="22"/>
          <w:szCs w:val="22"/>
        </w:rPr>
      </w:pPr>
      <w:r w:rsidRPr="00880A3E">
        <w:rPr>
          <w:sz w:val="22"/>
          <w:szCs w:val="22"/>
        </w:rPr>
        <w:t xml:space="preserve">North Lincolnshire Council: in 2013, 7 applications were screened for HRA from a total of 1,625 applications. Of the 1,404 applications determined in 2013, 2 had been screened for likely significant effect and neither required an </w:t>
      </w:r>
      <w:r w:rsidR="00880A3E">
        <w:rPr>
          <w:sz w:val="22"/>
          <w:szCs w:val="22"/>
        </w:rPr>
        <w:t>AA</w:t>
      </w:r>
      <w:r w:rsidRPr="00880A3E">
        <w:rPr>
          <w:sz w:val="22"/>
          <w:szCs w:val="22"/>
        </w:rPr>
        <w:t xml:space="preserve">. The Council confirmed that 2013 seems to have been an atypical year as they normally do 2-6 </w:t>
      </w:r>
      <w:r w:rsidR="00880A3E">
        <w:rPr>
          <w:sz w:val="22"/>
          <w:szCs w:val="22"/>
        </w:rPr>
        <w:t>AA</w:t>
      </w:r>
      <w:r w:rsidRPr="00880A3E">
        <w:rPr>
          <w:sz w:val="22"/>
          <w:szCs w:val="22"/>
        </w:rPr>
        <w:t>s per year. However, some of the larger applications are now NSIP projects, meaning that the Planning Inspectorate is the Competent Authority.</w:t>
      </w:r>
    </w:p>
    <w:p w:rsidR="006152E5" w:rsidRPr="00880A3E" w:rsidRDefault="006152E5" w:rsidP="00880A3E">
      <w:pPr>
        <w:jc w:val="both"/>
        <w:rPr>
          <w:sz w:val="22"/>
          <w:szCs w:val="22"/>
        </w:rPr>
      </w:pPr>
    </w:p>
    <w:p w:rsidR="00880A3E" w:rsidRDefault="006152E5" w:rsidP="00880A3E">
      <w:pPr>
        <w:jc w:val="both"/>
        <w:rPr>
          <w:sz w:val="22"/>
          <w:szCs w:val="22"/>
        </w:rPr>
      </w:pPr>
      <w:r w:rsidRPr="00880A3E">
        <w:rPr>
          <w:sz w:val="22"/>
          <w:szCs w:val="22"/>
        </w:rPr>
        <w:t xml:space="preserve">Northampton Borough Council: in 2013, </w:t>
      </w:r>
      <w:r w:rsidR="00880A3E">
        <w:rPr>
          <w:sz w:val="22"/>
          <w:szCs w:val="22"/>
        </w:rPr>
        <w:t>1</w:t>
      </w:r>
      <w:r w:rsidRPr="00880A3E">
        <w:rPr>
          <w:sz w:val="22"/>
          <w:szCs w:val="22"/>
        </w:rPr>
        <w:t xml:space="preserve"> application was screened for HRA out of a total of 1,337.</w:t>
      </w:r>
      <w:r w:rsidR="00880A3E">
        <w:rPr>
          <w:sz w:val="22"/>
          <w:szCs w:val="22"/>
        </w:rPr>
        <w:br w:type="page"/>
      </w:r>
    </w:p>
    <w:p w:rsidR="006152E5" w:rsidRPr="00880A3E" w:rsidRDefault="006152E5" w:rsidP="00880A3E">
      <w:pPr>
        <w:jc w:val="both"/>
        <w:rPr>
          <w:sz w:val="22"/>
          <w:szCs w:val="22"/>
        </w:rPr>
      </w:pPr>
      <w:r w:rsidRPr="00880A3E">
        <w:rPr>
          <w:sz w:val="22"/>
          <w:szCs w:val="22"/>
        </w:rPr>
        <w:lastRenderedPageBreak/>
        <w:t xml:space="preserve">NSIP </w:t>
      </w:r>
      <w:r w:rsidR="00880A3E">
        <w:rPr>
          <w:sz w:val="22"/>
          <w:szCs w:val="22"/>
        </w:rPr>
        <w:t>p</w:t>
      </w:r>
      <w:r w:rsidRPr="00880A3E">
        <w:rPr>
          <w:sz w:val="22"/>
          <w:szCs w:val="22"/>
        </w:rPr>
        <w:t xml:space="preserve">rojects: In 2013 18 projects were accepted for consideration, 1 was withdrawn and 10 were considered to have no significant effect on European sites. Seven </w:t>
      </w:r>
      <w:r w:rsidR="00880A3E">
        <w:rPr>
          <w:sz w:val="22"/>
          <w:szCs w:val="22"/>
        </w:rPr>
        <w:t>AAs</w:t>
      </w:r>
      <w:r w:rsidRPr="00880A3E">
        <w:rPr>
          <w:sz w:val="22"/>
          <w:szCs w:val="22"/>
        </w:rPr>
        <w:t xml:space="preserve"> were made and all concluded no adverse effects on integrity of a European site. Of the 13 NSIP determinations made in 2013, development consent was granted for all except one, which was turned down on the grounds of geological uncertainty surrounding the storage of gas underground. Six projects required an </w:t>
      </w:r>
      <w:r w:rsidR="00880A3E">
        <w:rPr>
          <w:sz w:val="22"/>
          <w:szCs w:val="22"/>
        </w:rPr>
        <w:t>AA</w:t>
      </w:r>
      <w:r w:rsidRPr="00880A3E">
        <w:rPr>
          <w:sz w:val="22"/>
          <w:szCs w:val="22"/>
        </w:rPr>
        <w:t xml:space="preserve"> and five of these concluded no adverse effect. The one project where an adverse effect could not be ruled out was subject to the Article 6(4) tests and passed.</w:t>
      </w:r>
    </w:p>
    <w:p w:rsidR="006152E5" w:rsidRPr="00880A3E" w:rsidRDefault="006152E5" w:rsidP="00880A3E">
      <w:pPr>
        <w:jc w:val="both"/>
        <w:rPr>
          <w:sz w:val="22"/>
          <w:szCs w:val="22"/>
        </w:rPr>
      </w:pPr>
    </w:p>
    <w:p w:rsidR="006152E5" w:rsidRPr="00880A3E" w:rsidRDefault="006152E5" w:rsidP="00880A3E">
      <w:pPr>
        <w:jc w:val="both"/>
        <w:rPr>
          <w:sz w:val="22"/>
          <w:szCs w:val="22"/>
        </w:rPr>
      </w:pPr>
      <w:r w:rsidRPr="00880A3E">
        <w:rPr>
          <w:sz w:val="22"/>
          <w:szCs w:val="22"/>
        </w:rPr>
        <w:t xml:space="preserve">The Scotland Energy Consents Unit within the Scottish government determines applications to build and operate </w:t>
      </w:r>
      <w:r w:rsidR="00137B4C" w:rsidRPr="00880A3E">
        <w:rPr>
          <w:sz w:val="22"/>
          <w:szCs w:val="22"/>
        </w:rPr>
        <w:t xml:space="preserve">larger </w:t>
      </w:r>
      <w:r w:rsidRPr="00880A3E">
        <w:rPr>
          <w:sz w:val="22"/>
          <w:szCs w:val="22"/>
        </w:rPr>
        <w:t xml:space="preserve">power stations </w:t>
      </w:r>
      <w:r w:rsidR="00137B4C" w:rsidRPr="00880A3E">
        <w:rPr>
          <w:sz w:val="22"/>
          <w:szCs w:val="22"/>
        </w:rPr>
        <w:t xml:space="preserve">(i.e. those over 50 Megawatts) </w:t>
      </w:r>
      <w:r w:rsidRPr="00880A3E">
        <w:rPr>
          <w:sz w:val="22"/>
          <w:szCs w:val="22"/>
        </w:rPr>
        <w:t>and to install overhead power lines</w:t>
      </w:r>
      <w:r w:rsidR="00137B4C" w:rsidRPr="00880A3E">
        <w:rPr>
          <w:sz w:val="22"/>
          <w:szCs w:val="22"/>
        </w:rPr>
        <w:t xml:space="preserve"> as well as large gas and oil pipelines</w:t>
      </w:r>
      <w:r w:rsidRPr="00880A3E">
        <w:rPr>
          <w:sz w:val="22"/>
          <w:szCs w:val="22"/>
        </w:rPr>
        <w:t xml:space="preserve">. In 2013 three projects were approved and none were rejected and in 2014, </w:t>
      </w:r>
      <w:r w:rsidR="00880A3E">
        <w:rPr>
          <w:sz w:val="22"/>
          <w:szCs w:val="22"/>
        </w:rPr>
        <w:t>12 were approved and 3 rejected.</w:t>
      </w:r>
    </w:p>
    <w:p w:rsidR="006152E5" w:rsidRPr="00880A3E" w:rsidRDefault="006152E5" w:rsidP="00880A3E">
      <w:pPr>
        <w:jc w:val="both"/>
        <w:rPr>
          <w:sz w:val="22"/>
          <w:szCs w:val="22"/>
        </w:rPr>
      </w:pPr>
    </w:p>
    <w:p w:rsidR="006152E5" w:rsidRPr="00880A3E" w:rsidRDefault="006152E5" w:rsidP="00880A3E">
      <w:pPr>
        <w:jc w:val="both"/>
        <w:rPr>
          <w:b/>
          <w:sz w:val="22"/>
          <w:szCs w:val="22"/>
        </w:rPr>
      </w:pPr>
      <w:r w:rsidRPr="00880A3E">
        <w:rPr>
          <w:b/>
          <w:sz w:val="22"/>
          <w:szCs w:val="22"/>
        </w:rPr>
        <w:t>Slovakia</w:t>
      </w:r>
    </w:p>
    <w:p w:rsidR="00880A3E" w:rsidRDefault="00880A3E" w:rsidP="00880A3E">
      <w:pPr>
        <w:jc w:val="both"/>
        <w:rPr>
          <w:sz w:val="22"/>
          <w:szCs w:val="22"/>
        </w:rPr>
      </w:pPr>
    </w:p>
    <w:p w:rsidR="006152E5" w:rsidRPr="00880A3E" w:rsidRDefault="006152E5" w:rsidP="00880A3E">
      <w:pPr>
        <w:jc w:val="both"/>
        <w:rPr>
          <w:sz w:val="22"/>
          <w:szCs w:val="22"/>
        </w:rPr>
      </w:pPr>
      <w:r w:rsidRPr="00880A3E">
        <w:rPr>
          <w:sz w:val="22"/>
          <w:szCs w:val="22"/>
        </w:rPr>
        <w:t>Ta</w:t>
      </w:r>
      <w:r w:rsidR="003F4474" w:rsidRPr="00880A3E">
        <w:rPr>
          <w:sz w:val="22"/>
          <w:szCs w:val="22"/>
        </w:rPr>
        <w:t>tia</w:t>
      </w:r>
      <w:r w:rsidRPr="00880A3E">
        <w:rPr>
          <w:sz w:val="22"/>
          <w:szCs w:val="22"/>
        </w:rPr>
        <w:t xml:space="preserve">na </w:t>
      </w:r>
      <w:proofErr w:type="spellStart"/>
      <w:r w:rsidRPr="00880A3E">
        <w:rPr>
          <w:sz w:val="22"/>
          <w:szCs w:val="22"/>
        </w:rPr>
        <w:t>Nemcova</w:t>
      </w:r>
      <w:proofErr w:type="spellEnd"/>
      <w:r w:rsidR="002B6BBB" w:rsidRPr="00880A3E">
        <w:rPr>
          <w:sz w:val="22"/>
          <w:szCs w:val="22"/>
        </w:rPr>
        <w:t xml:space="preserve"> of Birdlife Europe</w:t>
      </w:r>
      <w:r w:rsidRPr="00880A3E">
        <w:rPr>
          <w:sz w:val="22"/>
          <w:szCs w:val="22"/>
        </w:rPr>
        <w:t xml:space="preserve"> asked the 8 Slovakian regional authorities responsible for applying Article 6(3) for some basic information about plans or projects likely to have a significant effect. Of a total of 189 planning applications in 2014, 10 were found to be likely to have a significant effect and of these 4 were required to undergo an EIA (AA). It has not been possible to find the outcome of these assessments. It should also be noted that this figure excludes plans or projects affecting </w:t>
      </w:r>
      <w:proofErr w:type="spellStart"/>
      <w:r w:rsidRPr="00880A3E">
        <w:rPr>
          <w:sz w:val="22"/>
          <w:szCs w:val="22"/>
        </w:rPr>
        <w:t>Natura</w:t>
      </w:r>
      <w:proofErr w:type="spellEnd"/>
      <w:r w:rsidRPr="00880A3E">
        <w:rPr>
          <w:sz w:val="22"/>
          <w:szCs w:val="22"/>
        </w:rPr>
        <w:t xml:space="preserve"> sites which fulfil the EIA criteria (i.e. the larger projects) as these are taken out from the AA process and are processed according to the EIA legislation.</w:t>
      </w:r>
    </w:p>
    <w:p w:rsidR="006152E5" w:rsidRPr="00880A3E" w:rsidRDefault="006152E5" w:rsidP="00880A3E">
      <w:pPr>
        <w:spacing w:line="240" w:lineRule="auto"/>
        <w:jc w:val="both"/>
        <w:rPr>
          <w:sz w:val="22"/>
          <w:szCs w:val="22"/>
        </w:rPr>
      </w:pPr>
    </w:p>
    <w:sectPr w:rsidR="006152E5" w:rsidRPr="00880A3E" w:rsidSect="00713AD4">
      <w:headerReference w:type="default" r:id="rId8"/>
      <w:footerReference w:type="default" r:id="rId9"/>
      <w:headerReference w:type="first" r:id="rId10"/>
      <w:pgSz w:w="12240" w:h="15840"/>
      <w:pgMar w:top="1440" w:right="1080" w:bottom="1440" w:left="1080"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4E" w:rsidRDefault="00FF374E">
      <w:pPr>
        <w:spacing w:line="240" w:lineRule="auto"/>
      </w:pPr>
      <w:r>
        <w:separator/>
      </w:r>
    </w:p>
  </w:endnote>
  <w:endnote w:type="continuationSeparator" w:id="0">
    <w:p w:rsidR="00FF374E" w:rsidRDefault="00FF37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93" w:rsidRPr="00D0010E" w:rsidRDefault="007D5EFD">
    <w:pPr>
      <w:pStyle w:val="Footer"/>
      <w:jc w:val="center"/>
      <w:rPr>
        <w:sz w:val="20"/>
        <w:szCs w:val="20"/>
      </w:rPr>
    </w:pPr>
    <w:r w:rsidRPr="00D0010E">
      <w:rPr>
        <w:sz w:val="20"/>
        <w:szCs w:val="20"/>
      </w:rPr>
      <w:fldChar w:fldCharType="begin"/>
    </w:r>
    <w:r w:rsidR="001A4393" w:rsidRPr="00D0010E">
      <w:rPr>
        <w:sz w:val="20"/>
        <w:szCs w:val="20"/>
      </w:rPr>
      <w:instrText xml:space="preserve"> PAGE   \* MERGEFORMAT </w:instrText>
    </w:r>
    <w:r w:rsidRPr="00D0010E">
      <w:rPr>
        <w:sz w:val="20"/>
        <w:szCs w:val="20"/>
      </w:rPr>
      <w:fldChar w:fldCharType="separate"/>
    </w:r>
    <w:r w:rsidR="00880A3E">
      <w:rPr>
        <w:noProof/>
        <w:sz w:val="20"/>
        <w:szCs w:val="20"/>
      </w:rPr>
      <w:t>2</w:t>
    </w:r>
    <w:r w:rsidRPr="00D0010E">
      <w:rPr>
        <w:sz w:val="20"/>
        <w:szCs w:val="20"/>
      </w:rPr>
      <w:fldChar w:fldCharType="end"/>
    </w:r>
  </w:p>
  <w:p w:rsidR="001A4393" w:rsidRDefault="001A4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4E" w:rsidRDefault="00FF374E">
      <w:pPr>
        <w:spacing w:line="240" w:lineRule="auto"/>
      </w:pPr>
      <w:r>
        <w:separator/>
      </w:r>
    </w:p>
  </w:footnote>
  <w:footnote w:type="continuationSeparator" w:id="0">
    <w:p w:rsidR="00FF374E" w:rsidRDefault="00FF374E">
      <w:pPr>
        <w:spacing w:line="240" w:lineRule="auto"/>
      </w:pPr>
      <w:r>
        <w:continuationSeparator/>
      </w:r>
    </w:p>
  </w:footnote>
  <w:footnote w:id="1">
    <w:p w:rsidR="001A4393" w:rsidRPr="00880A3E" w:rsidRDefault="001A4393" w:rsidP="00880A3E">
      <w:pPr>
        <w:pStyle w:val="FootnoteText"/>
        <w:tabs>
          <w:tab w:val="left" w:pos="227"/>
        </w:tabs>
        <w:spacing w:line="240" w:lineRule="auto"/>
        <w:ind w:left="227" w:hanging="227"/>
        <w:rPr>
          <w:sz w:val="18"/>
          <w:szCs w:val="18"/>
        </w:rPr>
      </w:pPr>
      <w:r w:rsidRPr="00880A3E">
        <w:rPr>
          <w:rStyle w:val="FootnoteReference"/>
          <w:sz w:val="18"/>
          <w:szCs w:val="18"/>
        </w:rPr>
        <w:footnoteRef/>
      </w:r>
      <w:r w:rsidRPr="00880A3E">
        <w:rPr>
          <w:sz w:val="18"/>
          <w:szCs w:val="18"/>
        </w:rPr>
        <w:t xml:space="preserve"> </w:t>
      </w:r>
      <w:r w:rsidR="00880A3E">
        <w:rPr>
          <w:sz w:val="18"/>
          <w:szCs w:val="18"/>
        </w:rPr>
        <w:tab/>
      </w:r>
      <w:r w:rsidRPr="00880A3E">
        <w:rPr>
          <w:sz w:val="18"/>
          <w:szCs w:val="18"/>
        </w:rPr>
        <w:t>http://infrastructure.planningportal.gov.uk/projects/register-of-applications/.</w:t>
      </w:r>
    </w:p>
  </w:footnote>
  <w:footnote w:id="2">
    <w:p w:rsidR="00422717" w:rsidRPr="00880A3E" w:rsidRDefault="00422717" w:rsidP="00880A3E">
      <w:pPr>
        <w:pStyle w:val="FootnoteText"/>
        <w:tabs>
          <w:tab w:val="left" w:pos="227"/>
        </w:tabs>
        <w:spacing w:line="240" w:lineRule="auto"/>
        <w:ind w:left="227" w:hanging="227"/>
        <w:rPr>
          <w:sz w:val="18"/>
          <w:szCs w:val="18"/>
        </w:rPr>
      </w:pPr>
      <w:r w:rsidRPr="00880A3E">
        <w:rPr>
          <w:rStyle w:val="FootnoteReference"/>
          <w:sz w:val="18"/>
          <w:szCs w:val="18"/>
        </w:rPr>
        <w:footnoteRef/>
      </w:r>
      <w:r w:rsidRPr="00880A3E">
        <w:rPr>
          <w:sz w:val="18"/>
          <w:szCs w:val="18"/>
        </w:rPr>
        <w:t xml:space="preserve"> </w:t>
      </w:r>
      <w:r w:rsidR="00880A3E">
        <w:rPr>
          <w:sz w:val="18"/>
          <w:szCs w:val="18"/>
        </w:rPr>
        <w:tab/>
      </w:r>
      <w:r w:rsidRPr="00880A3E">
        <w:rPr>
          <w:sz w:val="18"/>
          <w:szCs w:val="18"/>
        </w:rPr>
        <w:t>http://www.gov.scot/Topics/Business-Industry/Energy/Infrastructure/Energy-Consents/Applications-Database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93" w:rsidRPr="00416533" w:rsidRDefault="001A4393"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93" w:rsidRDefault="003D0F34">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8B445B"/>
    <w:multiLevelType w:val="hybridMultilevel"/>
    <w:tmpl w:val="F334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297788"/>
    <w:multiLevelType w:val="hybridMultilevel"/>
    <w:tmpl w:val="E96A3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F38D8"/>
    <w:multiLevelType w:val="hybridMultilevel"/>
    <w:tmpl w:val="02B6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4D5F72DC"/>
    <w:multiLevelType w:val="hybridMultilevel"/>
    <w:tmpl w:val="92A2D04A"/>
    <w:lvl w:ilvl="0" w:tplc="F7BEC48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D42547"/>
    <w:multiLevelType w:val="hybridMultilevel"/>
    <w:tmpl w:val="AD4E27A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D534B7"/>
    <w:multiLevelType w:val="hybridMultilevel"/>
    <w:tmpl w:val="42C4B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AA4FA9"/>
    <w:multiLevelType w:val="hybridMultilevel"/>
    <w:tmpl w:val="A4921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64A904A9"/>
    <w:multiLevelType w:val="hybridMultilevel"/>
    <w:tmpl w:val="52200E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5"/>
  </w:num>
  <w:num w:numId="6">
    <w:abstractNumId w:val="16"/>
  </w:num>
  <w:num w:numId="7">
    <w:abstractNumId w:val="7"/>
  </w:num>
  <w:num w:numId="8">
    <w:abstractNumId w:val="5"/>
  </w:num>
  <w:num w:numId="9">
    <w:abstractNumId w:val="17"/>
  </w:num>
  <w:num w:numId="10">
    <w:abstractNumId w:val="9"/>
  </w:num>
  <w:num w:numId="11">
    <w:abstractNumId w:val="14"/>
  </w:num>
  <w:num w:numId="12">
    <w:abstractNumId w:val="10"/>
  </w:num>
  <w:num w:numId="13">
    <w:abstractNumId w:val="12"/>
  </w:num>
  <w:num w:numId="14">
    <w:abstractNumId w:val="13"/>
  </w:num>
  <w:num w:numId="15">
    <w:abstractNumId w:val="11"/>
  </w:num>
  <w:num w:numId="16">
    <w:abstractNumId w:val="4"/>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E80"/>
    <w:rsid w:val="00011211"/>
    <w:rsid w:val="0001366E"/>
    <w:rsid w:val="00022048"/>
    <w:rsid w:val="00033C58"/>
    <w:rsid w:val="00044C58"/>
    <w:rsid w:val="00053869"/>
    <w:rsid w:val="000559F8"/>
    <w:rsid w:val="00061E88"/>
    <w:rsid w:val="00092167"/>
    <w:rsid w:val="00092274"/>
    <w:rsid w:val="000A265C"/>
    <w:rsid w:val="000A2F60"/>
    <w:rsid w:val="000A7840"/>
    <w:rsid w:val="000B1F11"/>
    <w:rsid w:val="000C58F2"/>
    <w:rsid w:val="000F7F4B"/>
    <w:rsid w:val="001025C2"/>
    <w:rsid w:val="001229A4"/>
    <w:rsid w:val="0013765D"/>
    <w:rsid w:val="00137B4C"/>
    <w:rsid w:val="00160020"/>
    <w:rsid w:val="00160529"/>
    <w:rsid w:val="00161306"/>
    <w:rsid w:val="00164E0B"/>
    <w:rsid w:val="00182238"/>
    <w:rsid w:val="001867F9"/>
    <w:rsid w:val="001A01A3"/>
    <w:rsid w:val="001A08DD"/>
    <w:rsid w:val="001A4393"/>
    <w:rsid w:val="001A614C"/>
    <w:rsid w:val="001A791C"/>
    <w:rsid w:val="001B00F1"/>
    <w:rsid w:val="001B4E94"/>
    <w:rsid w:val="001B6B72"/>
    <w:rsid w:val="001C4300"/>
    <w:rsid w:val="001E67A6"/>
    <w:rsid w:val="001F379A"/>
    <w:rsid w:val="00206DCC"/>
    <w:rsid w:val="00213077"/>
    <w:rsid w:val="002146CB"/>
    <w:rsid w:val="00255D1E"/>
    <w:rsid w:val="00256BE3"/>
    <w:rsid w:val="00275E9B"/>
    <w:rsid w:val="00295102"/>
    <w:rsid w:val="002B6BBB"/>
    <w:rsid w:val="002C248C"/>
    <w:rsid w:val="002D6DAE"/>
    <w:rsid w:val="002E5F88"/>
    <w:rsid w:val="00301D2D"/>
    <w:rsid w:val="00312607"/>
    <w:rsid w:val="003171D8"/>
    <w:rsid w:val="00357CB9"/>
    <w:rsid w:val="003612D2"/>
    <w:rsid w:val="00367CA4"/>
    <w:rsid w:val="00380320"/>
    <w:rsid w:val="00383140"/>
    <w:rsid w:val="00391DD8"/>
    <w:rsid w:val="00394EEB"/>
    <w:rsid w:val="003A1DA3"/>
    <w:rsid w:val="003A7FE8"/>
    <w:rsid w:val="003C6F5F"/>
    <w:rsid w:val="003D0F34"/>
    <w:rsid w:val="003D3E46"/>
    <w:rsid w:val="003F4474"/>
    <w:rsid w:val="003F5341"/>
    <w:rsid w:val="003F5681"/>
    <w:rsid w:val="0040137F"/>
    <w:rsid w:val="00416533"/>
    <w:rsid w:val="00422717"/>
    <w:rsid w:val="00423149"/>
    <w:rsid w:val="004322A9"/>
    <w:rsid w:val="00455DD9"/>
    <w:rsid w:val="004777D9"/>
    <w:rsid w:val="00477D38"/>
    <w:rsid w:val="00485B6D"/>
    <w:rsid w:val="00496745"/>
    <w:rsid w:val="004A1845"/>
    <w:rsid w:val="004B01D2"/>
    <w:rsid w:val="004C7B2C"/>
    <w:rsid w:val="004D23F4"/>
    <w:rsid w:val="00503536"/>
    <w:rsid w:val="005053C9"/>
    <w:rsid w:val="00511D96"/>
    <w:rsid w:val="00517A49"/>
    <w:rsid w:val="00524613"/>
    <w:rsid w:val="00531AE0"/>
    <w:rsid w:val="00540C35"/>
    <w:rsid w:val="00542004"/>
    <w:rsid w:val="005517FB"/>
    <w:rsid w:val="00561CC3"/>
    <w:rsid w:val="0059313A"/>
    <w:rsid w:val="005A3C69"/>
    <w:rsid w:val="005B2958"/>
    <w:rsid w:val="005C7EAC"/>
    <w:rsid w:val="005D0819"/>
    <w:rsid w:val="005D3002"/>
    <w:rsid w:val="006072DA"/>
    <w:rsid w:val="00607F33"/>
    <w:rsid w:val="006152E5"/>
    <w:rsid w:val="00630C32"/>
    <w:rsid w:val="00640D25"/>
    <w:rsid w:val="006438C6"/>
    <w:rsid w:val="00645172"/>
    <w:rsid w:val="00650A54"/>
    <w:rsid w:val="0065792E"/>
    <w:rsid w:val="00682891"/>
    <w:rsid w:val="006906CB"/>
    <w:rsid w:val="006A6AE7"/>
    <w:rsid w:val="006B3759"/>
    <w:rsid w:val="006B37A2"/>
    <w:rsid w:val="006C3461"/>
    <w:rsid w:val="00707E55"/>
    <w:rsid w:val="0071320F"/>
    <w:rsid w:val="00713AD4"/>
    <w:rsid w:val="007326F3"/>
    <w:rsid w:val="00744F52"/>
    <w:rsid w:val="007603FF"/>
    <w:rsid w:val="0076502C"/>
    <w:rsid w:val="00773CC8"/>
    <w:rsid w:val="00787613"/>
    <w:rsid w:val="00794B03"/>
    <w:rsid w:val="007C0579"/>
    <w:rsid w:val="007C1B67"/>
    <w:rsid w:val="007C23B4"/>
    <w:rsid w:val="007C6FFC"/>
    <w:rsid w:val="007D5EFD"/>
    <w:rsid w:val="007D6779"/>
    <w:rsid w:val="007E5E81"/>
    <w:rsid w:val="007F7C0D"/>
    <w:rsid w:val="00801FB2"/>
    <w:rsid w:val="00806C7A"/>
    <w:rsid w:val="00821C0A"/>
    <w:rsid w:val="00842B74"/>
    <w:rsid w:val="0085108D"/>
    <w:rsid w:val="00880A3E"/>
    <w:rsid w:val="00897C2C"/>
    <w:rsid w:val="008B24D1"/>
    <w:rsid w:val="008C3EEB"/>
    <w:rsid w:val="008E3C64"/>
    <w:rsid w:val="00903808"/>
    <w:rsid w:val="00915834"/>
    <w:rsid w:val="009460A5"/>
    <w:rsid w:val="00952DAA"/>
    <w:rsid w:val="00956187"/>
    <w:rsid w:val="00960AE0"/>
    <w:rsid w:val="009623C9"/>
    <w:rsid w:val="00971EBB"/>
    <w:rsid w:val="009755D9"/>
    <w:rsid w:val="00977D94"/>
    <w:rsid w:val="00981C55"/>
    <w:rsid w:val="00987488"/>
    <w:rsid w:val="009C7C92"/>
    <w:rsid w:val="009D0915"/>
    <w:rsid w:val="009E0B07"/>
    <w:rsid w:val="009E6E3F"/>
    <w:rsid w:val="00A26BD7"/>
    <w:rsid w:val="00A26F1A"/>
    <w:rsid w:val="00A33A6C"/>
    <w:rsid w:val="00A348E2"/>
    <w:rsid w:val="00A57E96"/>
    <w:rsid w:val="00A63081"/>
    <w:rsid w:val="00A727CD"/>
    <w:rsid w:val="00A771D2"/>
    <w:rsid w:val="00A93491"/>
    <w:rsid w:val="00A96BA9"/>
    <w:rsid w:val="00AE076B"/>
    <w:rsid w:val="00AF5607"/>
    <w:rsid w:val="00AF7E86"/>
    <w:rsid w:val="00B11235"/>
    <w:rsid w:val="00B373C4"/>
    <w:rsid w:val="00B40D80"/>
    <w:rsid w:val="00B5228C"/>
    <w:rsid w:val="00B561FE"/>
    <w:rsid w:val="00B964DC"/>
    <w:rsid w:val="00BA2086"/>
    <w:rsid w:val="00BC7328"/>
    <w:rsid w:val="00BD4161"/>
    <w:rsid w:val="00BE15E8"/>
    <w:rsid w:val="00BE6F6A"/>
    <w:rsid w:val="00BF2D26"/>
    <w:rsid w:val="00C043C5"/>
    <w:rsid w:val="00C05941"/>
    <w:rsid w:val="00C0728F"/>
    <w:rsid w:val="00C25F0D"/>
    <w:rsid w:val="00C455EC"/>
    <w:rsid w:val="00C7226E"/>
    <w:rsid w:val="00C80CD8"/>
    <w:rsid w:val="00C81C8E"/>
    <w:rsid w:val="00C8370D"/>
    <w:rsid w:val="00C856A1"/>
    <w:rsid w:val="00C9025D"/>
    <w:rsid w:val="00CA0893"/>
    <w:rsid w:val="00CB27DB"/>
    <w:rsid w:val="00CC55FC"/>
    <w:rsid w:val="00CE145F"/>
    <w:rsid w:val="00CE5E72"/>
    <w:rsid w:val="00D0010E"/>
    <w:rsid w:val="00D05499"/>
    <w:rsid w:val="00D06ECE"/>
    <w:rsid w:val="00D07AA0"/>
    <w:rsid w:val="00D12A12"/>
    <w:rsid w:val="00D167FE"/>
    <w:rsid w:val="00D17249"/>
    <w:rsid w:val="00D24CB3"/>
    <w:rsid w:val="00D27C93"/>
    <w:rsid w:val="00D524A5"/>
    <w:rsid w:val="00D52F22"/>
    <w:rsid w:val="00D659BC"/>
    <w:rsid w:val="00DA4EBE"/>
    <w:rsid w:val="00DA503D"/>
    <w:rsid w:val="00DB6299"/>
    <w:rsid w:val="00DC25AE"/>
    <w:rsid w:val="00DD0F48"/>
    <w:rsid w:val="00DE7A81"/>
    <w:rsid w:val="00DF5609"/>
    <w:rsid w:val="00E01100"/>
    <w:rsid w:val="00E160C7"/>
    <w:rsid w:val="00E2135D"/>
    <w:rsid w:val="00E21864"/>
    <w:rsid w:val="00E24726"/>
    <w:rsid w:val="00E27D97"/>
    <w:rsid w:val="00E32A40"/>
    <w:rsid w:val="00E461E4"/>
    <w:rsid w:val="00E6055D"/>
    <w:rsid w:val="00E76888"/>
    <w:rsid w:val="00E81DEA"/>
    <w:rsid w:val="00E85D44"/>
    <w:rsid w:val="00E8619E"/>
    <w:rsid w:val="00E92E73"/>
    <w:rsid w:val="00EA1BCE"/>
    <w:rsid w:val="00EA2302"/>
    <w:rsid w:val="00EA71CE"/>
    <w:rsid w:val="00EA7C9B"/>
    <w:rsid w:val="00EC5188"/>
    <w:rsid w:val="00ED5B93"/>
    <w:rsid w:val="00EE1189"/>
    <w:rsid w:val="00EE17A0"/>
    <w:rsid w:val="00EF3DD3"/>
    <w:rsid w:val="00F03D30"/>
    <w:rsid w:val="00F17E1F"/>
    <w:rsid w:val="00F231DB"/>
    <w:rsid w:val="00F25D08"/>
    <w:rsid w:val="00F26F05"/>
    <w:rsid w:val="00F4319C"/>
    <w:rsid w:val="00F60832"/>
    <w:rsid w:val="00F60CA6"/>
    <w:rsid w:val="00F74677"/>
    <w:rsid w:val="00F77649"/>
    <w:rsid w:val="00FB1AB8"/>
    <w:rsid w:val="00FC0A39"/>
    <w:rsid w:val="00FC5BE7"/>
    <w:rsid w:val="00FC7CDC"/>
    <w:rsid w:val="00FF37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FD"/>
    <w:pPr>
      <w:suppressAutoHyphens/>
      <w:spacing w:line="100" w:lineRule="atLeast"/>
    </w:pPr>
    <w:rPr>
      <w:rFonts w:ascii="Arial" w:eastAsia="SimSu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D5EFD"/>
    <w:rPr>
      <w:rFonts w:cs="Courier New"/>
    </w:rPr>
  </w:style>
  <w:style w:type="character" w:customStyle="1" w:styleId="DefaultParagraphFont1">
    <w:name w:val="Default Paragraph Font1"/>
    <w:rsid w:val="007D5EFD"/>
  </w:style>
  <w:style w:type="character" w:customStyle="1" w:styleId="FootnoteTextChar">
    <w:name w:val="Footnote Text Char"/>
    <w:basedOn w:val="DefaultParagraphFont1"/>
    <w:uiPriority w:val="99"/>
    <w:rsid w:val="007D5EFD"/>
  </w:style>
  <w:style w:type="character" w:customStyle="1" w:styleId="FootnoteReference1">
    <w:name w:val="Footnote Reference1"/>
    <w:basedOn w:val="DefaultParagraphFont1"/>
    <w:rsid w:val="007D5EFD"/>
  </w:style>
  <w:style w:type="character" w:styleId="Hyperlink">
    <w:name w:val="Hyperlink"/>
    <w:rsid w:val="007D5EFD"/>
    <w:rPr>
      <w:color w:val="0000FF"/>
      <w:u w:val="single"/>
    </w:rPr>
  </w:style>
  <w:style w:type="character" w:customStyle="1" w:styleId="BalloonTextChar">
    <w:name w:val="Balloon Text Char"/>
    <w:basedOn w:val="DefaultParagraphFont1"/>
    <w:rsid w:val="007D5EFD"/>
  </w:style>
  <w:style w:type="character" w:customStyle="1" w:styleId="FootnoteCharacters">
    <w:name w:val="Footnote Characters"/>
    <w:rsid w:val="007D5EFD"/>
  </w:style>
  <w:style w:type="character" w:styleId="FootnoteReference">
    <w:name w:val="footnote reference"/>
    <w:uiPriority w:val="99"/>
    <w:rsid w:val="007D5EFD"/>
    <w:rPr>
      <w:vertAlign w:val="superscript"/>
    </w:rPr>
  </w:style>
  <w:style w:type="character" w:styleId="EndnoteReference">
    <w:name w:val="endnote reference"/>
    <w:rsid w:val="007D5EFD"/>
    <w:rPr>
      <w:vertAlign w:val="superscript"/>
    </w:rPr>
  </w:style>
  <w:style w:type="character" w:customStyle="1" w:styleId="EndnoteCharacters">
    <w:name w:val="Endnote Characters"/>
    <w:rsid w:val="007D5EFD"/>
  </w:style>
  <w:style w:type="paragraph" w:customStyle="1" w:styleId="Heading">
    <w:name w:val="Heading"/>
    <w:basedOn w:val="Normal"/>
    <w:next w:val="BodyText"/>
    <w:rsid w:val="007D5EFD"/>
    <w:pPr>
      <w:keepNext/>
      <w:spacing w:before="240" w:after="120"/>
    </w:pPr>
    <w:rPr>
      <w:rFonts w:cs="Mangal"/>
      <w:sz w:val="28"/>
      <w:szCs w:val="28"/>
    </w:rPr>
  </w:style>
  <w:style w:type="paragraph" w:styleId="BodyText">
    <w:name w:val="Body Text"/>
    <w:basedOn w:val="Normal"/>
    <w:rsid w:val="007D5EFD"/>
    <w:pPr>
      <w:spacing w:after="120"/>
    </w:pPr>
  </w:style>
  <w:style w:type="paragraph" w:styleId="List">
    <w:name w:val="List"/>
    <w:basedOn w:val="BodyText"/>
    <w:rsid w:val="007D5EFD"/>
    <w:rPr>
      <w:rFonts w:cs="Mangal"/>
    </w:rPr>
  </w:style>
  <w:style w:type="paragraph" w:styleId="Caption">
    <w:name w:val="caption"/>
    <w:basedOn w:val="Normal"/>
    <w:qFormat/>
    <w:rsid w:val="007D5EFD"/>
    <w:pPr>
      <w:suppressLineNumbers/>
      <w:spacing w:before="120" w:after="120"/>
    </w:pPr>
    <w:rPr>
      <w:rFonts w:cs="Mangal"/>
      <w:i/>
      <w:iCs/>
    </w:rPr>
  </w:style>
  <w:style w:type="paragraph" w:customStyle="1" w:styleId="Index">
    <w:name w:val="Index"/>
    <w:basedOn w:val="Normal"/>
    <w:rsid w:val="007D5EFD"/>
    <w:pPr>
      <w:suppressLineNumbers/>
    </w:pPr>
    <w:rPr>
      <w:rFonts w:cs="Mangal"/>
    </w:rPr>
  </w:style>
  <w:style w:type="paragraph" w:styleId="ListParagraph">
    <w:name w:val="List Paragraph"/>
    <w:basedOn w:val="Normal"/>
    <w:link w:val="ListParagraphChar"/>
    <w:uiPriority w:val="34"/>
    <w:qFormat/>
    <w:rsid w:val="007D5EFD"/>
  </w:style>
  <w:style w:type="paragraph" w:styleId="NoSpacing">
    <w:name w:val="No Spacing"/>
    <w:qFormat/>
    <w:rsid w:val="007D5EFD"/>
    <w:pPr>
      <w:widowControl w:val="0"/>
      <w:suppressAutoHyphens/>
      <w:spacing w:after="200" w:line="276" w:lineRule="auto"/>
    </w:pPr>
    <w:rPr>
      <w:rFonts w:ascii="Arial" w:eastAsia="SimSun" w:hAnsi="Arial" w:cs="font290"/>
      <w:kern w:val="1"/>
      <w:sz w:val="22"/>
      <w:szCs w:val="22"/>
      <w:lang w:val="en-US" w:eastAsia="ar-SA"/>
    </w:rPr>
  </w:style>
  <w:style w:type="paragraph" w:customStyle="1" w:styleId="FootnoteText1">
    <w:name w:val="Footnote Text1"/>
    <w:basedOn w:val="Normal"/>
    <w:rsid w:val="007D5EFD"/>
  </w:style>
  <w:style w:type="paragraph" w:styleId="BalloonText">
    <w:name w:val="Balloon Text"/>
    <w:basedOn w:val="Normal"/>
    <w:rsid w:val="007D5EFD"/>
  </w:style>
  <w:style w:type="paragraph" w:styleId="FootnoteText">
    <w:name w:val="footnote text"/>
    <w:basedOn w:val="Normal"/>
    <w:uiPriority w:val="99"/>
    <w:rsid w:val="007D5EFD"/>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semiHidden/>
    <w:unhideWhenUsed/>
    <w:rsid w:val="00EA7C9B"/>
    <w:rPr>
      <w:rFonts w:cs="Times New Roman"/>
      <w:sz w:val="20"/>
      <w:szCs w:val="20"/>
    </w:rPr>
  </w:style>
  <w:style w:type="character" w:customStyle="1" w:styleId="CommentTextChar">
    <w:name w:val="Comment Text Char"/>
    <w:link w:val="CommentText"/>
    <w:uiPriority w:val="99"/>
    <w:semiHidden/>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character" w:customStyle="1" w:styleId="ListParagraphChar">
    <w:name w:val="List Paragraph Char"/>
    <w:basedOn w:val="DefaultParagraphFont"/>
    <w:link w:val="ListParagraph"/>
    <w:uiPriority w:val="34"/>
    <w:locked/>
    <w:rsid w:val="00E24726"/>
    <w:rPr>
      <w:rFonts w:ascii="Arial" w:eastAsia="SimSun" w:hAnsi="Arial" w:cs="Arial"/>
      <w:color w:val="000000"/>
      <w:kern w:val="1"/>
      <w:sz w:val="24"/>
      <w:szCs w:val="24"/>
      <w:lang w:eastAsia="ar-SA"/>
    </w:rPr>
  </w:style>
  <w:style w:type="paragraph" w:styleId="PlainText">
    <w:name w:val="Plain Text"/>
    <w:basedOn w:val="Normal"/>
    <w:link w:val="PlainTextChar"/>
    <w:uiPriority w:val="99"/>
    <w:semiHidden/>
    <w:unhideWhenUsed/>
    <w:rsid w:val="006152E5"/>
    <w:pPr>
      <w:suppressAutoHyphens w:val="0"/>
      <w:spacing w:line="240" w:lineRule="auto"/>
    </w:pPr>
    <w:rPr>
      <w:rFonts w:ascii="Calibri" w:eastAsia="Calibri" w:hAnsi="Calibri" w:cs="Times New Roman"/>
      <w:color w:val="auto"/>
      <w:kern w:val="0"/>
      <w:sz w:val="20"/>
      <w:szCs w:val="20"/>
      <w:lang w:eastAsia="en-GB"/>
    </w:rPr>
  </w:style>
  <w:style w:type="character" w:customStyle="1" w:styleId="PlainTextChar">
    <w:name w:val="Plain Text Char"/>
    <w:basedOn w:val="DefaultParagraphFont"/>
    <w:link w:val="PlainText"/>
    <w:uiPriority w:val="99"/>
    <w:semiHidden/>
    <w:rsid w:val="006152E5"/>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7658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25F5-8CF5-4B16-A5FD-36A82AA3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Deborah Fuggles</cp:lastModifiedBy>
  <cp:revision>3</cp:revision>
  <cp:lastPrinted>2012-06-08T10:00:00Z</cp:lastPrinted>
  <dcterms:created xsi:type="dcterms:W3CDTF">2015-03-24T16:56:00Z</dcterms:created>
  <dcterms:modified xsi:type="dcterms:W3CDTF">2015-03-25T10:33:00Z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583962338</vt:i4>
  </property>
  <property fmtid="{D5CDD505-2E9C-101B-9397-08002B2CF9AE}" pid="3" name="_NewReviewCycle">
    <vt:lpwstr/>
  </property>
  <property fmtid="{D5CDD505-2E9C-101B-9397-08002B2CF9AE}" pid="4" name="_EmailSubject">
    <vt:lpwstr>3 of 3</vt:lpwstr>
  </property>
  <property fmtid="{D5CDD505-2E9C-101B-9397-08002B2CF9AE}" pid="5" name="_AuthorEmail">
    <vt:lpwstr>Kate.Jennings@rspb.org.uk</vt:lpwstr>
  </property>
  <property fmtid="{D5CDD505-2E9C-101B-9397-08002B2CF9AE}" pid="6" name="_AuthorEmailDisplayName">
    <vt:lpwstr>Jennings, Kate</vt:lpwstr>
  </property>
  <property fmtid="{D5CDD505-2E9C-101B-9397-08002B2CF9AE}" pid="8" name="_PreviousAdHocReviewCycleID">
    <vt:i4>754476681</vt:i4>
  </property>
</Properties>
</file>